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AC0" w:rsidRDefault="00F02AC0" w:rsidP="00F02AC0">
      <w:pPr>
        <w:pStyle w:val="NormalnyWeb"/>
        <w:shd w:val="clear" w:color="auto" w:fill="FDFDFB"/>
        <w:spacing w:before="180" w:beforeAutospacing="0" w:after="180" w:afterAutospacing="0"/>
        <w:rPr>
          <w:rStyle w:val="Pogrubienie"/>
          <w:rFonts w:ascii="Arial" w:hAnsi="Arial" w:cs="Arial"/>
          <w:color w:val="405625"/>
          <w:sz w:val="20"/>
          <w:szCs w:val="20"/>
        </w:rPr>
      </w:pPr>
      <w:r>
        <w:rPr>
          <w:rStyle w:val="Pogrubienie"/>
          <w:rFonts w:ascii="Arial" w:hAnsi="Arial" w:cs="Arial"/>
          <w:color w:val="405625"/>
          <w:sz w:val="20"/>
          <w:szCs w:val="20"/>
        </w:rPr>
        <w:t xml:space="preserve">Organizator Studiów Podyplomowych </w:t>
      </w:r>
    </w:p>
    <w:p w:rsidR="00F02AC0" w:rsidRDefault="00F02AC0" w:rsidP="00F02AC0">
      <w:pPr>
        <w:pStyle w:val="NormalnyWeb"/>
        <w:shd w:val="clear" w:color="auto" w:fill="FDFDFB"/>
        <w:spacing w:before="180" w:beforeAutospacing="0" w:after="180" w:afterAutospacing="0"/>
        <w:rPr>
          <w:rFonts w:ascii="Arial" w:hAnsi="Arial" w:cs="Arial"/>
          <w:color w:val="405625"/>
          <w:sz w:val="20"/>
          <w:szCs w:val="20"/>
        </w:rPr>
      </w:pPr>
      <w:r w:rsidRPr="00F02AC0">
        <w:rPr>
          <w:rStyle w:val="Pogrubienie"/>
          <w:rFonts w:ascii="Arial" w:hAnsi="Arial" w:cs="Arial"/>
          <w:color w:val="405625"/>
          <w:sz w:val="20"/>
          <w:szCs w:val="20"/>
        </w:rPr>
        <w:t>Zarządzanie ryzykiem w otoczeniu drzew - diagnostyka, pielęgnacja, monitoring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Katedra Użytkowania Lasu, Wydział Leśny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Uniwersytet Przyrodniczy w Poznaniu</w:t>
      </w:r>
    </w:p>
    <w:p w:rsidR="00F02AC0" w:rsidRDefault="00F02AC0" w:rsidP="00F02AC0">
      <w:pPr>
        <w:pStyle w:val="NormalnyWeb"/>
        <w:shd w:val="clear" w:color="auto" w:fill="FDFDFB"/>
        <w:spacing w:before="0" w:beforeAutospacing="0" w:after="0" w:afterAutospacing="0"/>
        <w:rPr>
          <w:rFonts w:ascii="Arial" w:hAnsi="Arial" w:cs="Arial"/>
          <w:color w:val="405625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ul. Wojska Polskiego 71A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60-625 Poznań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tel. (61) 848 7754</w:t>
      </w:r>
      <w:r>
        <w:rPr>
          <w:rFonts w:ascii="Arial" w:hAnsi="Arial" w:cs="Arial"/>
          <w:color w:val="405625"/>
          <w:sz w:val="20"/>
          <w:szCs w:val="20"/>
        </w:rPr>
        <w:br/>
      </w:r>
      <w:hyperlink r:id="rId4" w:history="1">
        <w:r w:rsidRPr="00BA0EE2">
          <w:rPr>
            <w:rStyle w:val="Hipercze"/>
            <w:rFonts w:ascii="Arial" w:hAnsi="Arial" w:cs="Arial"/>
            <w:sz w:val="20"/>
            <w:szCs w:val="20"/>
          </w:rPr>
          <w:t>http://www.up.poznan.pl</w:t>
        </w:r>
      </w:hyperlink>
    </w:p>
    <w:p w:rsidR="00F02AC0" w:rsidRDefault="00F02AC0" w:rsidP="00F02AC0">
      <w:pPr>
        <w:pStyle w:val="NormalnyWeb"/>
        <w:shd w:val="clear" w:color="auto" w:fill="FDFDF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Style w:val="Pogrubienie"/>
          <w:rFonts w:ascii="Arial" w:hAnsi="Arial" w:cs="Arial"/>
          <w:color w:val="405625"/>
          <w:sz w:val="20"/>
          <w:szCs w:val="20"/>
        </w:rPr>
        <w:t>Kierownik Studium Podyplomowego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prof. UPP dr hab. inż. Tomasz Jelonek</w:t>
      </w:r>
      <w:r>
        <w:rPr>
          <w:rFonts w:ascii="Arial" w:hAnsi="Arial" w:cs="Arial"/>
          <w:color w:val="405625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>e-mail: </w:t>
      </w:r>
      <w:hyperlink r:id="rId5" w:history="1">
        <w:r w:rsidRPr="00BA0EE2">
          <w:rPr>
            <w:rStyle w:val="Hipercze"/>
            <w:rFonts w:ascii="Arial" w:hAnsi="Arial" w:cs="Arial"/>
            <w:sz w:val="20"/>
            <w:szCs w:val="20"/>
          </w:rPr>
          <w:t>tomasz.jelonek@up.poznan.pl</w:t>
        </w:r>
      </w:hyperlink>
    </w:p>
    <w:p w:rsidR="00F02AC0" w:rsidRDefault="00F02AC0" w:rsidP="00F02AC0">
      <w:pPr>
        <w:pStyle w:val="NormalnyWeb"/>
        <w:shd w:val="clear" w:color="auto" w:fill="FDFDFB"/>
        <w:spacing w:before="0" w:beforeAutospacing="0" w:after="0" w:afterAutospacing="0"/>
        <w:rPr>
          <w:rFonts w:ascii="Arial" w:hAnsi="Arial" w:cs="Arial"/>
          <w:color w:val="405625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Tel.: 600 077 368</w:t>
      </w:r>
    </w:p>
    <w:p w:rsidR="00B35F60" w:rsidRDefault="00B35F60"/>
    <w:p w:rsidR="00D203FE" w:rsidRDefault="00D203FE" w:rsidP="00D203FE">
      <w:pPr>
        <w:spacing w:after="0"/>
        <w:ind w:firstLine="708"/>
        <w:jc w:val="both"/>
      </w:pPr>
      <w:r w:rsidRPr="00EE00B0">
        <w:rPr>
          <w:b/>
        </w:rPr>
        <w:t>Celem</w:t>
      </w:r>
      <w:r>
        <w:t xml:space="preserve"> studiów podyplomowych jest uzupełnienie zakresu tematycznego nierealizowanego w toku studiów „leśnictwo” i kierunków pokrewnych oraz przygotowanie specjalistów zajmujących się diagnostyką drzew i oceną ryzyka potencjalnie niebezpiecznych i szkodliwych zdarzeń z ich udziałem. Oferta studiów skierowana jest do szerokiego grona odbiorców, zajmujących się problematyką drzew, między innymi w aspekcie ochrony środowiska i przyrody, leśnictwa czy też architektury krajobrazu. Są to zarówno pracownicy zatrudnieni w administracji państwowej różnego szczebla jak i w sektorze prywatnym.</w:t>
      </w:r>
    </w:p>
    <w:p w:rsidR="00D203FE" w:rsidRDefault="00D203FE" w:rsidP="00D203FE">
      <w:pPr>
        <w:spacing w:after="0"/>
        <w:jc w:val="both"/>
      </w:pPr>
      <w:r>
        <w:t>Program nauczania obejmować będzie zagadnienia z różnych dyscyplin i specjalności naukowych. W toku studiów słuchacze będą realizowali rozległy program, w którym znajdą się elementy biologii, prawa, leśnictwa, ochrony środowiska, arborystyki, inżynierii.</w:t>
      </w:r>
    </w:p>
    <w:p w:rsidR="00D203FE" w:rsidRDefault="00D203FE" w:rsidP="00D203FE">
      <w:pPr>
        <w:spacing w:after="0"/>
        <w:jc w:val="both"/>
      </w:pPr>
      <w:r>
        <w:t>Cele kształcenia obejmują nabycie i opanowanie wiedzy oraz praktycznych umiejętności w zakresie:</w:t>
      </w:r>
    </w:p>
    <w:p w:rsidR="00D203FE" w:rsidRDefault="00D203FE" w:rsidP="00D203FE">
      <w:pPr>
        <w:spacing w:after="0"/>
        <w:jc w:val="both"/>
      </w:pPr>
      <w:r>
        <w:t>1. Oceny ryzyka w otoczeniu drzew na podstawie:</w:t>
      </w:r>
    </w:p>
    <w:p w:rsidR="00D203FE" w:rsidRDefault="00D203FE" w:rsidP="00D203FE">
      <w:pPr>
        <w:spacing w:after="0"/>
        <w:jc w:val="both"/>
      </w:pPr>
      <w:r>
        <w:t>- analizy cech morfologicznych drzew pod kątem ich stabilności;</w:t>
      </w:r>
    </w:p>
    <w:p w:rsidR="00D203FE" w:rsidRDefault="00D203FE" w:rsidP="00D203FE">
      <w:pPr>
        <w:spacing w:after="0"/>
        <w:jc w:val="both"/>
      </w:pPr>
      <w:r>
        <w:t>- identyfikacji wad drewna, grzybów oraz owadów wraz z określeniem ich wpływu na stan zdrowotny i statykę drzewa;</w:t>
      </w:r>
    </w:p>
    <w:p w:rsidR="00D203FE" w:rsidRDefault="00D203FE" w:rsidP="00D203FE">
      <w:pPr>
        <w:spacing w:after="0"/>
        <w:jc w:val="both"/>
      </w:pPr>
      <w:r>
        <w:t>- stosowania dostępnych metod i narzędzi diagnostycznych wraz z interpretacją uzyskanych wyników.</w:t>
      </w:r>
    </w:p>
    <w:p w:rsidR="00D203FE" w:rsidRDefault="00D203FE" w:rsidP="00D203FE">
      <w:pPr>
        <w:spacing w:after="0"/>
        <w:jc w:val="both"/>
      </w:pPr>
      <w:r>
        <w:t>2. Zarządzania drzewami niebezpiecznymi, w tym:</w:t>
      </w:r>
    </w:p>
    <w:p w:rsidR="00D203FE" w:rsidRDefault="00D203FE" w:rsidP="00D203FE">
      <w:pPr>
        <w:spacing w:after="0"/>
        <w:jc w:val="both"/>
      </w:pPr>
      <w:r>
        <w:t>- znajomość elementów prawa dotyczących odpowiedzialności i obowiązków właścicieli i zarządców;</w:t>
      </w:r>
    </w:p>
    <w:p w:rsidR="00D203FE" w:rsidRDefault="00D203FE" w:rsidP="00D203FE">
      <w:pPr>
        <w:spacing w:after="0"/>
        <w:jc w:val="both"/>
      </w:pPr>
      <w:r>
        <w:t>- sporządzania dokumentacji i wniosków;</w:t>
      </w:r>
    </w:p>
    <w:p w:rsidR="00D203FE" w:rsidRDefault="00D203FE" w:rsidP="00D203FE">
      <w:pPr>
        <w:spacing w:after="0"/>
        <w:jc w:val="both"/>
      </w:pPr>
      <w:r>
        <w:t>- zasad pielęgnacji i usuwania drzew niebezpiecznych,</w:t>
      </w:r>
    </w:p>
    <w:p w:rsidR="00D203FE" w:rsidRDefault="00D203FE" w:rsidP="00D203FE">
      <w:pPr>
        <w:spacing w:after="0"/>
        <w:jc w:val="both"/>
      </w:pPr>
      <w:r>
        <w:t>- zasad postępowania z drzewami niebezpiecznymi objętymi ochroną konserwatorską.</w:t>
      </w:r>
    </w:p>
    <w:p w:rsidR="00D203FE" w:rsidRDefault="00D203FE" w:rsidP="00D203FE">
      <w:pPr>
        <w:jc w:val="both"/>
      </w:pPr>
    </w:p>
    <w:tbl>
      <w:tblPr>
        <w:tblW w:w="0" w:type="auto"/>
        <w:tblInd w:w="392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2"/>
      </w:tblGrid>
      <w:tr w:rsidR="00D203FE" w:rsidTr="00DD4652">
        <w:trPr>
          <w:cantSplit/>
        </w:trPr>
        <w:tc>
          <w:tcPr>
            <w:tcW w:w="72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03FE" w:rsidRDefault="00D203FE" w:rsidP="00DD4652">
            <w:pPr>
              <w:jc w:val="both"/>
            </w:pPr>
            <w:r>
              <w:t>Łączna liczba godzin zorganizowanych zajęć dydaktycznych:  190</w:t>
            </w:r>
          </w:p>
        </w:tc>
      </w:tr>
      <w:tr w:rsidR="00D203FE" w:rsidTr="00DD4652">
        <w:trPr>
          <w:cantSplit/>
        </w:trPr>
        <w:tc>
          <w:tcPr>
            <w:tcW w:w="7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03FE" w:rsidRDefault="00D203FE" w:rsidP="00DD4652">
            <w:pPr>
              <w:jc w:val="both"/>
            </w:pPr>
            <w:r>
              <w:t>Liczba semestrów: 2</w:t>
            </w:r>
          </w:p>
        </w:tc>
      </w:tr>
      <w:tr w:rsidR="00D203FE" w:rsidTr="00DD4652">
        <w:trPr>
          <w:cantSplit/>
        </w:trPr>
        <w:tc>
          <w:tcPr>
            <w:tcW w:w="7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03FE" w:rsidRDefault="00D203FE" w:rsidP="00DD4652">
            <w:pPr>
              <w:jc w:val="both"/>
            </w:pPr>
            <w:r>
              <w:t>Liczba zjazdów: 10</w:t>
            </w:r>
          </w:p>
        </w:tc>
      </w:tr>
    </w:tbl>
    <w:p w:rsidR="00D203FE" w:rsidRDefault="00D203FE" w:rsidP="00D203FE">
      <w:pPr>
        <w:jc w:val="both"/>
      </w:pPr>
    </w:p>
    <w:p w:rsidR="00D203FE" w:rsidRDefault="00D203FE" w:rsidP="00D203FE">
      <w:pPr>
        <w:jc w:val="both"/>
      </w:pPr>
      <w:r>
        <w:t>Program:</w:t>
      </w:r>
    </w:p>
    <w:p w:rsidR="00D203FE" w:rsidRPr="00042AB2" w:rsidRDefault="00D203FE" w:rsidP="00D203FE">
      <w:pPr>
        <w:spacing w:after="0"/>
        <w:jc w:val="both"/>
        <w:rPr>
          <w:b/>
        </w:rPr>
      </w:pPr>
      <w:r w:rsidRPr="00042AB2">
        <w:rPr>
          <w:b/>
        </w:rPr>
        <w:t>Semestr 1</w:t>
      </w:r>
    </w:p>
    <w:p w:rsidR="00D203FE" w:rsidRDefault="00D203FE" w:rsidP="00D203FE">
      <w:pPr>
        <w:spacing w:after="0"/>
        <w:jc w:val="both"/>
      </w:pPr>
      <w:r>
        <w:t xml:space="preserve">  I.  </w:t>
      </w:r>
      <w:r w:rsidRPr="001F2BCD">
        <w:rPr>
          <w:b/>
        </w:rPr>
        <w:t>Systematyka oraz budowa i funkcjonowanie drzew</w:t>
      </w:r>
      <w:r>
        <w:t xml:space="preserve"> </w:t>
      </w:r>
    </w:p>
    <w:p w:rsidR="00D203FE" w:rsidRDefault="00D203FE" w:rsidP="00D203FE">
      <w:pPr>
        <w:spacing w:after="0"/>
        <w:jc w:val="both"/>
      </w:pPr>
      <w:r>
        <w:t>1  Budowa i fizjologia drzew</w:t>
      </w:r>
    </w:p>
    <w:p w:rsidR="00D203FE" w:rsidRDefault="00D203FE" w:rsidP="00D203FE">
      <w:pPr>
        <w:spacing w:after="0"/>
        <w:jc w:val="both"/>
      </w:pPr>
      <w:r>
        <w:t xml:space="preserve">2. Budowa, cechy i właściwości drewna </w:t>
      </w:r>
    </w:p>
    <w:p w:rsidR="00D203FE" w:rsidRDefault="00D203FE" w:rsidP="00D203FE">
      <w:pPr>
        <w:spacing w:after="0"/>
        <w:jc w:val="both"/>
      </w:pPr>
      <w:r>
        <w:t>3. Statyka i biomechanika drzew</w:t>
      </w:r>
    </w:p>
    <w:p w:rsidR="00D203FE" w:rsidRDefault="00D203FE" w:rsidP="00D203FE">
      <w:pPr>
        <w:spacing w:after="0"/>
        <w:jc w:val="both"/>
      </w:pPr>
      <w:r>
        <w:lastRenderedPageBreak/>
        <w:t xml:space="preserve">4. Systematyka roślin drzewiastych </w:t>
      </w:r>
    </w:p>
    <w:p w:rsidR="00D203FE" w:rsidRDefault="00D203FE" w:rsidP="00D203FE">
      <w:pPr>
        <w:spacing w:after="0"/>
        <w:jc w:val="both"/>
      </w:pPr>
      <w:r>
        <w:t xml:space="preserve">  II. </w:t>
      </w:r>
      <w:r w:rsidRPr="001F2BCD">
        <w:rPr>
          <w:b/>
        </w:rPr>
        <w:t>Prawne aspekty zarządzania ryzykiem w otoczeniu drzew</w:t>
      </w:r>
    </w:p>
    <w:p w:rsidR="00D203FE" w:rsidRDefault="00D203FE" w:rsidP="00D203FE">
      <w:pPr>
        <w:spacing w:after="0"/>
        <w:jc w:val="both"/>
      </w:pPr>
      <w:r>
        <w:t>1. Źródła prawnych obowiązków podmiotów zarządzających drzewami (Lasy Państwowe, Parki Narodowe, Gminy, podmioty prywatne)</w:t>
      </w:r>
    </w:p>
    <w:p w:rsidR="00D203FE" w:rsidRDefault="00D203FE" w:rsidP="00D203FE">
      <w:pPr>
        <w:spacing w:after="0"/>
        <w:jc w:val="both"/>
      </w:pPr>
      <w:r>
        <w:t xml:space="preserve">2. Źródła prawnych obowiązków turystów, </w:t>
      </w:r>
      <w:proofErr w:type="spellStart"/>
      <w:r>
        <w:t>rekreantów</w:t>
      </w:r>
      <w:proofErr w:type="spellEnd"/>
      <w:r>
        <w:t xml:space="preserve"> i osób korzystających z terenów zadrzewionych</w:t>
      </w:r>
    </w:p>
    <w:p w:rsidR="00D203FE" w:rsidRDefault="00D203FE" w:rsidP="00D203FE">
      <w:pPr>
        <w:spacing w:after="0"/>
        <w:jc w:val="both"/>
      </w:pPr>
      <w:r>
        <w:t>3. Definicja wypadku</w:t>
      </w:r>
    </w:p>
    <w:p w:rsidR="00D203FE" w:rsidRDefault="00D203FE" w:rsidP="00D203FE">
      <w:pPr>
        <w:spacing w:after="0"/>
        <w:jc w:val="both"/>
      </w:pPr>
      <w:r>
        <w:t>4. Zasady odpowiedzialności cywilnej i karnej za wypadki z udziałem drzew</w:t>
      </w:r>
    </w:p>
    <w:p w:rsidR="00D203FE" w:rsidRDefault="00D203FE" w:rsidP="00D203FE">
      <w:pPr>
        <w:spacing w:after="0"/>
        <w:jc w:val="both"/>
      </w:pPr>
      <w:r>
        <w:t>5. Studium przypadku z uwzględnieniem najnowszego orzecznictwa</w:t>
      </w:r>
    </w:p>
    <w:p w:rsidR="00D203FE" w:rsidRDefault="00D203FE" w:rsidP="00D203FE">
      <w:pPr>
        <w:spacing w:after="0"/>
        <w:jc w:val="both"/>
      </w:pPr>
      <w:r>
        <w:t>6. Rola prewencji i dobre praktyki w zarządzaniu zadrzewionym obszarem</w:t>
      </w:r>
    </w:p>
    <w:p w:rsidR="00D203FE" w:rsidRDefault="00D203FE" w:rsidP="00D203FE">
      <w:pPr>
        <w:spacing w:after="0"/>
        <w:jc w:val="both"/>
      </w:pPr>
      <w:r>
        <w:t>7. Moduł warsztatowy</w:t>
      </w:r>
    </w:p>
    <w:p w:rsidR="00D203FE" w:rsidRDefault="00D203FE" w:rsidP="00D203FE">
      <w:pPr>
        <w:spacing w:after="0"/>
        <w:jc w:val="both"/>
      </w:pPr>
      <w:r>
        <w:t xml:space="preserve">8. BHP </w:t>
      </w:r>
    </w:p>
    <w:p w:rsidR="00D203FE" w:rsidRDefault="00D203FE" w:rsidP="00D203FE">
      <w:pPr>
        <w:spacing w:after="0"/>
        <w:jc w:val="both"/>
      </w:pPr>
      <w:r>
        <w:t xml:space="preserve">III. </w:t>
      </w:r>
      <w:r w:rsidRPr="001F2BCD">
        <w:rPr>
          <w:b/>
        </w:rPr>
        <w:t>Diagnostyka stanu drzew</w:t>
      </w:r>
    </w:p>
    <w:p w:rsidR="00D203FE" w:rsidRDefault="00D203FE" w:rsidP="00D203FE">
      <w:pPr>
        <w:spacing w:after="0"/>
        <w:jc w:val="both"/>
      </w:pPr>
      <w:r>
        <w:t>1. Podstawy diagnostyki</w:t>
      </w:r>
    </w:p>
    <w:p w:rsidR="00D203FE" w:rsidRDefault="00D203FE" w:rsidP="00D203FE">
      <w:pPr>
        <w:spacing w:after="0"/>
        <w:jc w:val="both"/>
      </w:pPr>
      <w:r>
        <w:t xml:space="preserve">2. Metody wizualne </w:t>
      </w:r>
    </w:p>
    <w:p w:rsidR="00D203FE" w:rsidRDefault="00D203FE" w:rsidP="00D203FE">
      <w:pPr>
        <w:spacing w:after="0"/>
        <w:jc w:val="both"/>
      </w:pPr>
      <w:r>
        <w:t xml:space="preserve">3. Metody instrumentalne </w:t>
      </w:r>
    </w:p>
    <w:p w:rsidR="00D203FE" w:rsidRDefault="00D203FE" w:rsidP="00D203FE">
      <w:pPr>
        <w:spacing w:after="0"/>
        <w:jc w:val="both"/>
      </w:pPr>
      <w:r>
        <w:t>4. Przyrodnicza waloryzacja drzew (porosty, owady, ptaki)</w:t>
      </w:r>
    </w:p>
    <w:p w:rsidR="00D203FE" w:rsidRDefault="00D203FE" w:rsidP="00D203FE">
      <w:pPr>
        <w:spacing w:after="0"/>
        <w:jc w:val="both"/>
      </w:pPr>
      <w:r>
        <w:t xml:space="preserve">5. Szkodniki i choroby drzew </w:t>
      </w:r>
    </w:p>
    <w:p w:rsidR="00D203FE" w:rsidRDefault="00D203FE" w:rsidP="00D203FE">
      <w:pPr>
        <w:spacing w:after="0"/>
        <w:jc w:val="both"/>
      </w:pPr>
      <w:r>
        <w:t xml:space="preserve">6. Wady pierwotne drewna </w:t>
      </w:r>
    </w:p>
    <w:p w:rsidR="00D203FE" w:rsidRPr="00042AB2" w:rsidRDefault="00D203FE" w:rsidP="00D203FE">
      <w:pPr>
        <w:spacing w:after="0"/>
        <w:jc w:val="both"/>
        <w:rPr>
          <w:b/>
        </w:rPr>
      </w:pPr>
      <w:r w:rsidRPr="00042AB2">
        <w:rPr>
          <w:b/>
        </w:rPr>
        <w:t>Semestr 2</w:t>
      </w:r>
    </w:p>
    <w:p w:rsidR="00D203FE" w:rsidRPr="001F2BCD" w:rsidRDefault="00D203FE" w:rsidP="00D203FE">
      <w:pPr>
        <w:spacing w:after="0"/>
        <w:rPr>
          <w:b/>
        </w:rPr>
      </w:pPr>
      <w:r>
        <w:t xml:space="preserve">  IV. </w:t>
      </w:r>
      <w:r w:rsidRPr="001F2BCD">
        <w:rPr>
          <w:b/>
        </w:rPr>
        <w:t xml:space="preserve">Pielęgnowanie i usuwanie drzew  </w:t>
      </w:r>
    </w:p>
    <w:p w:rsidR="00D203FE" w:rsidRDefault="00D203FE" w:rsidP="00D203FE">
      <w:pPr>
        <w:spacing w:after="0"/>
      </w:pPr>
      <w:r>
        <w:t>1. Cięcie drzew</w:t>
      </w:r>
    </w:p>
    <w:p w:rsidR="00D203FE" w:rsidRDefault="00D203FE" w:rsidP="00D203FE">
      <w:pPr>
        <w:spacing w:after="0"/>
      </w:pPr>
      <w:r>
        <w:t>2. Wzmocnienia mechaniczne pni i koron</w:t>
      </w:r>
    </w:p>
    <w:p w:rsidR="00D203FE" w:rsidRDefault="00D203FE" w:rsidP="00D203FE">
      <w:pPr>
        <w:spacing w:after="0"/>
      </w:pPr>
      <w:r>
        <w:t xml:space="preserve">3. Zasady usuwania drzew niebezpiecznych </w:t>
      </w:r>
    </w:p>
    <w:p w:rsidR="00D203FE" w:rsidRDefault="00D203FE" w:rsidP="00D203FE">
      <w:pPr>
        <w:spacing w:after="0"/>
      </w:pPr>
      <w:r>
        <w:t xml:space="preserve">4. Materiały i sprzęt </w:t>
      </w:r>
    </w:p>
    <w:p w:rsidR="00D203FE" w:rsidRDefault="00D203FE" w:rsidP="00D203FE">
      <w:pPr>
        <w:spacing w:after="0"/>
      </w:pPr>
      <w:r>
        <w:t xml:space="preserve">  V. </w:t>
      </w:r>
      <w:r w:rsidRPr="001F2BCD">
        <w:rPr>
          <w:b/>
        </w:rPr>
        <w:t>Zarządzanie drzewostanem</w:t>
      </w:r>
      <w:r>
        <w:t xml:space="preserve"> </w:t>
      </w:r>
    </w:p>
    <w:p w:rsidR="00D203FE" w:rsidRDefault="00D203FE" w:rsidP="00D203FE">
      <w:pPr>
        <w:spacing w:after="0"/>
      </w:pPr>
      <w:r>
        <w:t>1. Inwentaryzacje dendrologiczne (dokumentacja)</w:t>
      </w:r>
    </w:p>
    <w:p w:rsidR="00D203FE" w:rsidRDefault="00D203FE" w:rsidP="00D203FE">
      <w:pPr>
        <w:spacing w:after="0"/>
      </w:pPr>
      <w:r>
        <w:t>2. Ocena ryzyka zdarzeń potencjalnie niebezpiecznych</w:t>
      </w:r>
    </w:p>
    <w:p w:rsidR="00D203FE" w:rsidRDefault="00D203FE" w:rsidP="00D203FE">
      <w:pPr>
        <w:spacing w:after="0"/>
      </w:pPr>
      <w:r>
        <w:t>3. Tworzenie rozwiązań systemowych (częstotliwość inspekcji, budowanie baz danych)</w:t>
      </w:r>
    </w:p>
    <w:p w:rsidR="00D203FE" w:rsidRDefault="00D203FE" w:rsidP="00D203FE">
      <w:pPr>
        <w:spacing w:after="0"/>
      </w:pPr>
      <w:r>
        <w:t>4. Tworzenie specyfikacji robót (SIWZ, elementy zamówień publicznych, odbiór robót)</w:t>
      </w:r>
    </w:p>
    <w:p w:rsidR="00D203FE" w:rsidRDefault="00D203FE" w:rsidP="00D203FE">
      <w:pPr>
        <w:spacing w:after="0"/>
      </w:pPr>
      <w:r>
        <w:t xml:space="preserve">  VI. </w:t>
      </w:r>
      <w:r w:rsidRPr="001F2BCD">
        <w:rPr>
          <w:b/>
        </w:rPr>
        <w:t>Rozwój oraz współczesne trendy w zarządzaniu drzewami</w:t>
      </w:r>
    </w:p>
    <w:p w:rsidR="00D203FE" w:rsidRDefault="00D203FE" w:rsidP="00D203FE">
      <w:pPr>
        <w:spacing w:after="0"/>
      </w:pPr>
      <w:r>
        <w:t xml:space="preserve">1. Historia i rozwój metod pielęgnacji drzew </w:t>
      </w:r>
    </w:p>
    <w:p w:rsidR="00D203FE" w:rsidRDefault="00D203FE" w:rsidP="00D203FE">
      <w:pPr>
        <w:spacing w:after="0"/>
      </w:pPr>
      <w:r>
        <w:t xml:space="preserve">2. Pomniki przyrody i drzewa pamiątkowe </w:t>
      </w:r>
    </w:p>
    <w:p w:rsidR="00D203FE" w:rsidRDefault="00D203FE" w:rsidP="00D203FE">
      <w:pPr>
        <w:spacing w:after="0"/>
      </w:pPr>
      <w:r>
        <w:t xml:space="preserve">3. Przesadzanie drzew </w:t>
      </w:r>
    </w:p>
    <w:p w:rsidR="00D203FE" w:rsidRDefault="00D203FE" w:rsidP="00D203FE">
      <w:pPr>
        <w:spacing w:after="0"/>
      </w:pPr>
      <w:r>
        <w:t>4. Sadzenie i dobór gatunków drzew</w:t>
      </w:r>
    </w:p>
    <w:p w:rsidR="00D203FE" w:rsidRDefault="00D203FE" w:rsidP="00D203FE">
      <w:pPr>
        <w:spacing w:after="0"/>
      </w:pPr>
      <w:r>
        <w:t xml:space="preserve">5. Zadrzewienia przydrożne, aleje  </w:t>
      </w:r>
    </w:p>
    <w:p w:rsidR="00D203FE" w:rsidRDefault="00D203FE" w:rsidP="00D203FE">
      <w:pPr>
        <w:spacing w:after="0"/>
      </w:pPr>
      <w:r>
        <w:t xml:space="preserve">6. Obce i inwazyjne gatunki drzew </w:t>
      </w:r>
    </w:p>
    <w:p w:rsidR="00D203FE" w:rsidRDefault="00D203FE" w:rsidP="00D203FE">
      <w:pPr>
        <w:spacing w:after="0"/>
      </w:pPr>
      <w:r>
        <w:t>7. Gospodarowanie drzewami przy drogach publicznych</w:t>
      </w:r>
    </w:p>
    <w:p w:rsidR="00D203FE" w:rsidRDefault="00D203FE" w:rsidP="00D203FE">
      <w:pPr>
        <w:spacing w:after="0"/>
      </w:pPr>
      <w:r>
        <w:t>8. Warunki meteorologiczne a ryzyko upadku drzewa</w:t>
      </w:r>
    </w:p>
    <w:p w:rsidR="00D203FE" w:rsidRDefault="00D203FE" w:rsidP="00D203FE">
      <w:pPr>
        <w:spacing w:after="0"/>
      </w:pPr>
      <w:r>
        <w:t>9. Wyjazd studyjny</w:t>
      </w:r>
    </w:p>
    <w:p w:rsidR="00D203FE" w:rsidRDefault="00D203FE" w:rsidP="00D203FE"/>
    <w:p w:rsidR="00D203FE" w:rsidRDefault="00D203FE" w:rsidP="00D203FE">
      <w:r>
        <w:t>Warunkiem ukończenia studiów i wydania świadectwa jest uzyskanie określonych w programie kształcenia efektów uczenia się i wymaganej liczby punktów ECTS, złożenie pracy końcowej oraz zdanie egzaminu końcowego.</w:t>
      </w:r>
    </w:p>
    <w:p w:rsidR="00D203FE" w:rsidRDefault="00D203FE" w:rsidP="00D203FE">
      <w:r>
        <w:t>Koszty: 5 000,00 zł brutto 2 semestry.</w:t>
      </w:r>
    </w:p>
    <w:p w:rsidR="00D203FE" w:rsidRDefault="00D203FE" w:rsidP="00D203FE">
      <w:r>
        <w:t xml:space="preserve">Termin: </w:t>
      </w:r>
      <w:r w:rsidR="00AC2B35">
        <w:t>marzec 2021 – luty 2022</w:t>
      </w:r>
    </w:p>
    <w:p w:rsidR="00D203FE" w:rsidRDefault="00D203FE" w:rsidP="00D203FE">
      <w:r>
        <w:t xml:space="preserve">Nabór do </w:t>
      </w:r>
      <w:r w:rsidR="00AC2B35">
        <w:t>10 stycznia 2021</w:t>
      </w:r>
      <w:r>
        <w:t xml:space="preserve"> r.</w:t>
      </w:r>
    </w:p>
    <w:p w:rsidR="00D203FE" w:rsidRPr="00D203FE" w:rsidRDefault="00D203FE" w:rsidP="00D203FE">
      <w:pPr>
        <w:jc w:val="both"/>
        <w:rPr>
          <w:b/>
          <w:i/>
          <w:color w:val="2E74B5" w:themeColor="accent1" w:themeShade="BF"/>
        </w:rPr>
      </w:pPr>
      <w:r w:rsidRPr="00D203FE">
        <w:rPr>
          <w:b/>
          <w:i/>
          <w:color w:val="2E74B5" w:themeColor="accent1" w:themeShade="BF"/>
        </w:rPr>
        <w:lastRenderedPageBreak/>
        <w:t>Wykładowcy na studiach stanowią najlepszą kadrę zarówno naukowców jak i praktyków i ekspertów w różnych dziedzinach</w:t>
      </w:r>
      <w:r w:rsidR="00E03674">
        <w:rPr>
          <w:b/>
          <w:i/>
          <w:color w:val="2E74B5" w:themeColor="accent1" w:themeShade="BF"/>
        </w:rPr>
        <w:t>. Zakres studiów jest interdyscyplinarny i utylitarny ponieważ łączy w sobie wiedzę z zakresu</w:t>
      </w:r>
      <w:r w:rsidRPr="00D203FE">
        <w:rPr>
          <w:b/>
          <w:i/>
          <w:color w:val="2E74B5" w:themeColor="accent1" w:themeShade="BF"/>
        </w:rPr>
        <w:t xml:space="preserve"> systematyki, fizjologii, statyki drzew</w:t>
      </w:r>
      <w:r w:rsidR="00E03674">
        <w:rPr>
          <w:b/>
          <w:i/>
          <w:color w:val="2E74B5" w:themeColor="accent1" w:themeShade="BF"/>
        </w:rPr>
        <w:t>, a także</w:t>
      </w:r>
      <w:r w:rsidRPr="00D203FE">
        <w:rPr>
          <w:b/>
          <w:i/>
          <w:color w:val="2E74B5" w:themeColor="accent1" w:themeShade="BF"/>
        </w:rPr>
        <w:t xml:space="preserve"> prawo, diagnostykę, pielęgnację oraz monitoring drzew ze szczególnym uwzględnieniem drzew uznanych za niebezpieczne.</w:t>
      </w:r>
    </w:p>
    <w:p w:rsidR="00D203FE" w:rsidRPr="00042AB2" w:rsidRDefault="00D203FE" w:rsidP="00D203FE"/>
    <w:p w:rsidR="00D203FE" w:rsidRDefault="00407AB5">
      <w:r>
        <w:rPr>
          <w:noProof/>
          <w:lang w:eastAsia="pl-PL"/>
        </w:rPr>
        <w:drawing>
          <wp:inline distT="0" distB="0" distL="0" distR="0" wp14:anchorId="4D31D4AD">
            <wp:extent cx="3409315" cy="3237865"/>
            <wp:effectExtent l="0" t="0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AB5" w:rsidRDefault="00407AB5">
      <w:r w:rsidRPr="00407AB5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E:\Uczelnia\Sudia_Podyplomowe\Dokumenty na stronę\20191210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zelnia\Sudia_Podyplomowe\Dokumenty na stronę\20191210_115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B5" w:rsidRDefault="00407AB5">
      <w:r w:rsidRPr="00407AB5">
        <w:rPr>
          <w:noProof/>
          <w:lang w:eastAsia="pl-PL"/>
        </w:rPr>
        <w:lastRenderedPageBreak/>
        <w:drawing>
          <wp:inline distT="0" distB="0" distL="0" distR="0">
            <wp:extent cx="8962812" cy="5041582"/>
            <wp:effectExtent l="0" t="1588" r="8573" b="8572"/>
            <wp:docPr id="4" name="Obraz 4" descr="E:\Uczelnia\Sudia_Podyplomowe\Dokumenty na stronę\20200506_18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czelnia\Sudia_Podyplomowe\Dokumenty na stronę\20200506_18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5007" cy="50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D80"/>
    <w:rsid w:val="003052AA"/>
    <w:rsid w:val="00407AB5"/>
    <w:rsid w:val="00686C9C"/>
    <w:rsid w:val="009C5D80"/>
    <w:rsid w:val="00AC2B35"/>
    <w:rsid w:val="00B35F60"/>
    <w:rsid w:val="00D203FE"/>
    <w:rsid w:val="00E03674"/>
    <w:rsid w:val="00F0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C2845-3FF7-4577-A734-86E4C2F4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0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02AC0"/>
    <w:rPr>
      <w:b/>
      <w:bCs/>
    </w:rPr>
  </w:style>
  <w:style w:type="character" w:styleId="Hipercze">
    <w:name w:val="Hyperlink"/>
    <w:basedOn w:val="Domylnaczcionkaakapitu"/>
    <w:uiPriority w:val="99"/>
    <w:unhideWhenUsed/>
    <w:rsid w:val="00F02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6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tomasz.jelonek@up.poznan.p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up.poznan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670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Użytkownik</cp:lastModifiedBy>
  <cp:revision>7</cp:revision>
  <dcterms:created xsi:type="dcterms:W3CDTF">2020-06-05T16:32:00Z</dcterms:created>
  <dcterms:modified xsi:type="dcterms:W3CDTF">2020-12-09T12:35:00Z</dcterms:modified>
</cp:coreProperties>
</file>